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ED77DE" w14:textId="77777777" w:rsidR="00E903F9" w:rsidRDefault="7B0357D9" w:rsidP="005E476E">
      <w:pPr>
        <w:spacing w:after="0" w:line="240" w:lineRule="auto"/>
        <w:jc w:val="center"/>
        <w:rPr>
          <w:b/>
          <w:bCs/>
          <w:sz w:val="20"/>
          <w:szCs w:val="20"/>
        </w:rPr>
      </w:pPr>
      <w:bookmarkStart w:id="0" w:name="_GoBack"/>
      <w:bookmarkEnd w:id="0"/>
      <w:r w:rsidRPr="7B0357D9">
        <w:rPr>
          <w:b/>
          <w:bCs/>
          <w:sz w:val="20"/>
          <w:szCs w:val="20"/>
        </w:rPr>
        <w:t>TABELA ZGODNOŚCI</w:t>
      </w:r>
    </w:p>
    <w:p w14:paraId="0D1C3D8B" w14:textId="4B262692" w:rsidR="00E903F9" w:rsidRDefault="00745C89" w:rsidP="005E476E">
      <w:pPr>
        <w:spacing w:after="0" w:line="240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do </w:t>
      </w:r>
      <w:r w:rsidR="7B0357D9" w:rsidRPr="7B0357D9">
        <w:rPr>
          <w:b/>
          <w:bCs/>
          <w:sz w:val="20"/>
          <w:szCs w:val="20"/>
        </w:rPr>
        <w:t xml:space="preserve">projektu ustawy o </w:t>
      </w:r>
      <w:r w:rsidR="00395EF7">
        <w:rPr>
          <w:b/>
          <w:bCs/>
          <w:sz w:val="20"/>
          <w:szCs w:val="20"/>
        </w:rPr>
        <w:t>zmianie ustawy o wspieraniu rozwoju usług i sieci telekomunikacyjnych oraz niektórych innych ustaw</w:t>
      </w:r>
    </w:p>
    <w:p w14:paraId="5CF0EDDF" w14:textId="6A2DB860" w:rsidR="007A73B8" w:rsidRDefault="007A73B8" w:rsidP="00910DBB">
      <w:pPr>
        <w:spacing w:after="0" w:line="240" w:lineRule="auto"/>
        <w:jc w:val="both"/>
        <w:rPr>
          <w:b/>
          <w:sz w:val="20"/>
          <w:szCs w:val="20"/>
        </w:rPr>
      </w:pPr>
    </w:p>
    <w:p w14:paraId="0F71B253" w14:textId="77777777" w:rsidR="00E903F9" w:rsidRDefault="00E903F9" w:rsidP="00910DBB">
      <w:pPr>
        <w:spacing w:after="0" w:line="240" w:lineRule="auto"/>
        <w:jc w:val="both"/>
        <w:rPr>
          <w:b/>
          <w:sz w:val="20"/>
          <w:szCs w:val="20"/>
        </w:rPr>
      </w:pP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980"/>
        <w:gridCol w:w="12049"/>
      </w:tblGrid>
      <w:tr w:rsidR="00E903F9" w14:paraId="3A40DC1D" w14:textId="77777777" w:rsidTr="7B0357D9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2CFCE" w14:textId="77777777" w:rsidR="00E903F9" w:rsidRDefault="7B0357D9" w:rsidP="00910DBB">
            <w:pPr>
              <w:jc w:val="both"/>
              <w:rPr>
                <w:b/>
                <w:bCs/>
                <w:sz w:val="20"/>
                <w:szCs w:val="20"/>
              </w:rPr>
            </w:pPr>
            <w:r w:rsidRPr="7B0357D9">
              <w:rPr>
                <w:b/>
                <w:bCs/>
                <w:sz w:val="20"/>
                <w:szCs w:val="20"/>
              </w:rPr>
              <w:t>Tytuł projektu</w:t>
            </w: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AC76A" w14:textId="7CB5EBC6" w:rsidR="00E903F9" w:rsidRDefault="00745C89" w:rsidP="00910D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7B0357D9" w:rsidRPr="7B0357D9">
              <w:rPr>
                <w:sz w:val="20"/>
                <w:szCs w:val="20"/>
              </w:rPr>
              <w:t xml:space="preserve">rojekt ustawy </w:t>
            </w:r>
            <w:r w:rsidR="00395EF7" w:rsidRPr="00395EF7">
              <w:rPr>
                <w:bCs/>
                <w:sz w:val="20"/>
                <w:szCs w:val="20"/>
              </w:rPr>
              <w:t>o zmianie ustawy o wspieraniu rozwoju usług i sieci telekomunikacyjnych oraz niektórych innych ustaw</w:t>
            </w:r>
          </w:p>
        </w:tc>
      </w:tr>
      <w:tr w:rsidR="00E903F9" w14:paraId="128A2358" w14:textId="77777777" w:rsidTr="7B0357D9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91D9F" w14:textId="77777777" w:rsidR="00E903F9" w:rsidRDefault="7B0357D9" w:rsidP="00910DBB">
            <w:pPr>
              <w:jc w:val="both"/>
              <w:rPr>
                <w:b/>
                <w:bCs/>
                <w:sz w:val="20"/>
                <w:szCs w:val="20"/>
              </w:rPr>
            </w:pPr>
            <w:r w:rsidRPr="7B0357D9">
              <w:rPr>
                <w:b/>
                <w:bCs/>
                <w:sz w:val="20"/>
                <w:szCs w:val="20"/>
              </w:rPr>
              <w:t>Tytuł wdrażanego aktu prawnego</w:t>
            </w: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25BD7" w14:textId="6D0261D1" w:rsidR="00E903F9" w:rsidRPr="00395EF7" w:rsidRDefault="00395EF7" w:rsidP="00395EF7">
            <w:pPr>
              <w:shd w:val="clear" w:color="auto" w:fill="FFFFFF"/>
              <w:outlineLvl w:val="1"/>
              <w:rPr>
                <w:rFonts w:cstheme="minorHAnsi"/>
                <w:sz w:val="20"/>
                <w:szCs w:val="20"/>
              </w:rPr>
            </w:pPr>
            <w:bookmarkStart w:id="1" w:name="https://eur-lex.europa.eu/legal-content/"/>
            <w:r w:rsidRPr="00395EF7">
              <w:rPr>
                <w:rFonts w:eastAsia="Times New Roman" w:cstheme="minorHAnsi"/>
                <w:sz w:val="20"/>
                <w:szCs w:val="20"/>
                <w:lang w:eastAsia="pl-PL"/>
              </w:rPr>
              <w:t>Dyrektywa Parlamentu Europejskiego i Rady (UE) 2018/1972 z dnia 11 grudnia 2018 r. ustanawiająca Europejski kodeks łączności elektronicznej</w:t>
            </w:r>
            <w:bookmarkEnd w:id="1"/>
          </w:p>
        </w:tc>
      </w:tr>
    </w:tbl>
    <w:p w14:paraId="587AB172" w14:textId="77777777" w:rsidR="00194F4D" w:rsidRDefault="00194F4D" w:rsidP="00910DBB">
      <w:pPr>
        <w:jc w:val="both"/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5245"/>
        <w:gridCol w:w="1276"/>
        <w:gridCol w:w="5635"/>
      </w:tblGrid>
      <w:tr w:rsidR="00A3019D" w14:paraId="768CF1A6" w14:textId="77777777" w:rsidTr="7B0357D9">
        <w:trPr>
          <w:tblHeader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32F41" w14:textId="77777777" w:rsidR="00A3019D" w:rsidRDefault="7B0357D9" w:rsidP="00910DBB">
            <w:pPr>
              <w:jc w:val="both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</w:pPr>
            <w:r w:rsidRPr="7B0357D9"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  <w:t>Jednostka redakcyjna dyrektywy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8ACC7" w14:textId="4C8B6357" w:rsidR="00A3019D" w:rsidRDefault="7B0357D9" w:rsidP="00910DBB">
            <w:pPr>
              <w:jc w:val="both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</w:pPr>
            <w:r w:rsidRPr="7B0357D9"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  <w:t xml:space="preserve">Treść przepisu dyrektywy </w:t>
            </w:r>
            <w:r w:rsidR="00395EF7" w:rsidRPr="00395EF7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2018/1972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D8911CF" w14:textId="77777777" w:rsidR="00A3019D" w:rsidRDefault="7B0357D9" w:rsidP="00910DB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7B0357D9">
              <w:rPr>
                <w:b/>
                <w:bCs/>
                <w:sz w:val="20"/>
                <w:szCs w:val="20"/>
              </w:rPr>
              <w:t>Jednostka redakcyjna projektu ustawy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E7CD890" w14:textId="6ADFC951" w:rsidR="00A3019D" w:rsidRDefault="7B0357D9" w:rsidP="00910DB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7B0357D9">
              <w:rPr>
                <w:b/>
                <w:bCs/>
                <w:sz w:val="20"/>
                <w:szCs w:val="20"/>
              </w:rPr>
              <w:t xml:space="preserve">Treść projektu </w:t>
            </w:r>
            <w:r w:rsidR="00395EF7" w:rsidRPr="7B0357D9">
              <w:rPr>
                <w:b/>
                <w:bCs/>
                <w:sz w:val="20"/>
                <w:szCs w:val="20"/>
              </w:rPr>
              <w:t xml:space="preserve">ustawy o </w:t>
            </w:r>
            <w:r w:rsidR="00395EF7">
              <w:rPr>
                <w:b/>
                <w:bCs/>
                <w:sz w:val="20"/>
                <w:szCs w:val="20"/>
              </w:rPr>
              <w:t>zmianie ustawy o wspieraniu rozwoju usług i sieci telekomunikacyjnych oraz niektórych innych ustaw</w:t>
            </w:r>
          </w:p>
        </w:tc>
      </w:tr>
      <w:tr w:rsidR="00A3019D" w14:paraId="39CBBD58" w14:textId="77777777" w:rsidTr="7B0357D9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407BA" w14:textId="7F295843" w:rsidR="00BA34CF" w:rsidRDefault="00BA34CF" w:rsidP="005E476E">
            <w:pPr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>
              <w:rPr>
                <w:rFonts w:eastAsiaTheme="minorEastAsia"/>
                <w:color w:val="000000" w:themeColor="text1"/>
                <w:sz w:val="20"/>
                <w:szCs w:val="20"/>
              </w:rPr>
              <w:t>Definicje</w:t>
            </w:r>
          </w:p>
          <w:p w14:paraId="324C3E2D" w14:textId="0C332BDE" w:rsidR="00A3019D" w:rsidRDefault="00BA34CF" w:rsidP="00BA34CF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>
              <w:rPr>
                <w:rFonts w:eastAsiaTheme="minorEastAsia"/>
                <w:color w:val="000000" w:themeColor="text1"/>
                <w:sz w:val="20"/>
                <w:szCs w:val="20"/>
              </w:rPr>
              <w:t>Art. 2</w:t>
            </w:r>
            <w:r w:rsidR="00A3019D">
              <w:br/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05DF0" w14:textId="04AA1F06" w:rsidR="00A3019D" w:rsidRPr="00395EF7" w:rsidRDefault="00BA34CF" w:rsidP="00910DBB">
            <w:pPr>
              <w:jc w:val="both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444444"/>
                <w:sz w:val="20"/>
                <w:szCs w:val="20"/>
                <w:shd w:val="clear" w:color="auto" w:fill="FFFFFF"/>
              </w:rPr>
              <w:t>23) „</w:t>
            </w:r>
            <w:r w:rsidRPr="00BA34CF">
              <w:rPr>
                <w:color w:val="444444"/>
                <w:sz w:val="20"/>
                <w:szCs w:val="20"/>
                <w:shd w:val="clear" w:color="auto" w:fill="FFFFFF"/>
              </w:rPr>
              <w:t>punkt dostępu bezprzewodowego o bliskim zasięgu” oznacza niewielkie urządzenie o niskiej mocy służące do bezprzewodowego dostępu do sieci, dysponujące małym zasięgiem i wykorzystujące widmo radiowe objęte obowiązkiem uzyskania zezwolenia lub widmo radiowe zwolnione z obowiązku uzyskania zezwolenia lub też połączenie tych obu rodzajów widma, które może, być częścią publicznej sieci łączności elektronicznej, które może być wyposażone w antenę lub anteny o niskim oddziaływaniu na krajobraz i które pozwala użytkownikom uzyskać bezprzewodowy dostęp do sieci łączności elektronicznej, niezależnie od topologii tej sieci – ruchomej lub stałej;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4D093BD" w14:textId="51A73A27" w:rsidR="00A3019D" w:rsidRPr="00B2612D" w:rsidRDefault="00586FDB" w:rsidP="00910DBB">
            <w:p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Art. 1 pkt 1 lit. b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954606A" w14:textId="5A51D2BD" w:rsidR="00586FDB" w:rsidRPr="00586FDB" w:rsidRDefault="00586FDB" w:rsidP="00586FDB">
            <w:pPr>
              <w:pStyle w:val="Bezodstpw"/>
              <w:numPr>
                <w:ilvl w:val="0"/>
                <w:numId w:val="8"/>
              </w:numPr>
              <w:ind w:left="317"/>
              <w:jc w:val="both"/>
              <w:rPr>
                <w:rFonts w:cstheme="minorHAnsi"/>
                <w:sz w:val="20"/>
                <w:szCs w:val="20"/>
              </w:rPr>
            </w:pPr>
            <w:r w:rsidRPr="00586FDB">
              <w:rPr>
                <w:rFonts w:cstheme="minorHAnsi"/>
                <w:sz w:val="20"/>
                <w:szCs w:val="20"/>
              </w:rPr>
              <w:t>w art. 2 w ust. 1:</w:t>
            </w:r>
          </w:p>
          <w:p w14:paraId="14EB4705" w14:textId="68AC7714" w:rsidR="00586FDB" w:rsidRPr="00586FDB" w:rsidRDefault="00586FDB" w:rsidP="00586FDB">
            <w:pPr>
              <w:pStyle w:val="LITlitera"/>
              <w:spacing w:line="240" w:lineRule="auto"/>
              <w:ind w:left="600"/>
              <w:rPr>
                <w:rFonts w:asciiTheme="minorHAnsi" w:hAnsiTheme="minorHAnsi" w:cstheme="minorHAnsi"/>
                <w:sz w:val="20"/>
              </w:rPr>
            </w:pPr>
            <w:r w:rsidRPr="00586FDB">
              <w:rPr>
                <w:rFonts w:asciiTheme="minorHAnsi" w:hAnsiTheme="minorHAnsi" w:cstheme="minorHAnsi"/>
                <w:sz w:val="20"/>
              </w:rPr>
              <w:t>b)</w:t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586FDB">
              <w:rPr>
                <w:rFonts w:asciiTheme="minorHAnsi" w:hAnsiTheme="minorHAnsi" w:cstheme="minorHAnsi"/>
                <w:sz w:val="20"/>
              </w:rPr>
              <w:t>po pkt 9 kropkę zastępuje się średnikiem i dodaje się pkt 10 i 11 w brzmieniu:</w:t>
            </w:r>
          </w:p>
          <w:p w14:paraId="3C34346B" w14:textId="2C70DC4E" w:rsidR="007A5BDC" w:rsidRDefault="00586FDB" w:rsidP="00526E7E">
            <w:pPr>
              <w:pStyle w:val="Bezodstpw"/>
              <w:jc w:val="both"/>
              <w:rPr>
                <w:sz w:val="20"/>
                <w:szCs w:val="20"/>
              </w:rPr>
            </w:pPr>
            <w:r w:rsidRPr="00586FDB">
              <w:rPr>
                <w:rFonts w:cstheme="minorHAnsi"/>
                <w:sz w:val="20"/>
                <w:szCs w:val="20"/>
              </w:rPr>
              <w:t>„10)</w:t>
            </w:r>
            <w:r w:rsidRPr="00586FDB">
              <w:rPr>
                <w:rFonts w:cstheme="minorHAnsi"/>
                <w:sz w:val="20"/>
                <w:szCs w:val="20"/>
              </w:rPr>
              <w:tab/>
              <w:t>punkt dostępu bezprzewodowego o bliskim zasięgu - niewielkie urządzenie radiowe o małej mocy, wyposażone w jedną lub więcej anten o krótkim zasięgu i niskim oddziaływaniu na krajobraz, pozwalające użytkownikom uzyskać bezprzewodowy dostęp do sieci telekomunikacyjnej, niezależnie od rodzaju tej sieci – ruchomej lub stałej;”</w:t>
            </w:r>
          </w:p>
        </w:tc>
      </w:tr>
      <w:tr w:rsidR="00BA34CF" w14:paraId="021ADE88" w14:textId="77777777" w:rsidTr="7B0357D9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8C8D8" w14:textId="77777777" w:rsidR="00BA34CF" w:rsidRDefault="00BA34CF" w:rsidP="00BA34CF">
            <w:pPr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>
              <w:rPr>
                <w:rFonts w:eastAsiaTheme="minorEastAsia"/>
                <w:color w:val="000000" w:themeColor="text1"/>
                <w:sz w:val="20"/>
                <w:szCs w:val="20"/>
              </w:rPr>
              <w:t>Wdrożenie i eksploatacja punktów dostępu bezprzewodowego o bliskim zasięgu</w:t>
            </w:r>
          </w:p>
          <w:p w14:paraId="65B0E014" w14:textId="23ADF2E4" w:rsidR="00BA34CF" w:rsidRDefault="00BA34CF" w:rsidP="00BA34CF">
            <w:pPr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>
              <w:rPr>
                <w:rFonts w:eastAsiaTheme="minorEastAsia"/>
                <w:color w:val="000000" w:themeColor="text1"/>
                <w:sz w:val="20"/>
                <w:szCs w:val="20"/>
              </w:rPr>
              <w:t>Art.57</w:t>
            </w:r>
            <w:r>
              <w:br/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143F8" w14:textId="232F7949" w:rsidR="00BA34CF" w:rsidRPr="00395EF7" w:rsidRDefault="00BA34CF" w:rsidP="00910DBB">
            <w:pPr>
              <w:jc w:val="both"/>
              <w:rPr>
                <w:rFonts w:cstheme="minorHAnsi"/>
                <w:color w:val="444444"/>
                <w:sz w:val="20"/>
                <w:szCs w:val="20"/>
                <w:shd w:val="clear" w:color="auto" w:fill="FFFFFF"/>
              </w:rPr>
            </w:pPr>
            <w:r w:rsidRPr="00395EF7">
              <w:rPr>
                <w:rFonts w:cstheme="minorHAnsi"/>
                <w:color w:val="444444"/>
                <w:sz w:val="20"/>
                <w:szCs w:val="20"/>
                <w:shd w:val="clear" w:color="auto" w:fill="FFFFFF"/>
              </w:rPr>
              <w:t xml:space="preserve">4.   Państwa członkowskie, stosując w odpowiednich przypadkach procedury przyjęte zgodnie z dyrektywą 2014/61/UE, zapewniają, aby operatorzy mieli prawo dostępu do każdej zarządzanej przez krajowe, regionalne lub lokalne organy publiczne infrastruktury technicznej, która nadaje się pod względem technicznym do umieszczania punktów dostępu bezprzewodowego o bliskim zasięgu lub która jest niezbędna do połączenia takich punktów dostępu z siecią szkieletową, w tym wyposażenia ulic, np. latarni, znaków ulicznych, sygnalizacji świetlnej, billboardów, przystanków autobusowych i tramwajowych oraz stacji metra. Organy publiczne spełniają wszystkie uzasadnione wnioski o dostęp na </w:t>
            </w:r>
            <w:r w:rsidRPr="00395EF7">
              <w:rPr>
                <w:rFonts w:cstheme="minorHAnsi"/>
                <w:color w:val="444444"/>
                <w:sz w:val="20"/>
                <w:szCs w:val="20"/>
                <w:shd w:val="clear" w:color="auto" w:fill="FFFFFF"/>
              </w:rPr>
              <w:lastRenderedPageBreak/>
              <w:t>uczciwych, rozsądnych, przejrzystych i niedyskryminacyjnych warunkach, które są podawane do wiadomości w pojedynczym punkcie informacyjnym.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91584A" w14:textId="77777777" w:rsidR="00586FDB" w:rsidRDefault="00586FDB" w:rsidP="00910DBB">
            <w:p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Art. 1 pkt 1 lit. b</w:t>
            </w:r>
          </w:p>
          <w:p w14:paraId="58E95FBA" w14:textId="488114D0" w:rsidR="00586FDB" w:rsidRPr="00B2612D" w:rsidRDefault="00586FDB" w:rsidP="00910DBB">
            <w:p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Art. 1 pkt 6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DDEE03" w14:textId="77777777" w:rsidR="00586FDB" w:rsidRPr="00586FDB" w:rsidRDefault="00586FDB" w:rsidP="00586FDB">
            <w:pPr>
              <w:pStyle w:val="PKTpunkt"/>
              <w:spacing w:line="240" w:lineRule="auto"/>
              <w:ind w:left="175" w:hanging="193"/>
              <w:rPr>
                <w:rFonts w:asciiTheme="minorHAnsi" w:hAnsiTheme="minorHAnsi" w:cstheme="minorHAnsi"/>
                <w:sz w:val="20"/>
              </w:rPr>
            </w:pPr>
            <w:r w:rsidRPr="00586FDB">
              <w:rPr>
                <w:rFonts w:asciiTheme="minorHAnsi" w:hAnsiTheme="minorHAnsi" w:cstheme="minorHAnsi"/>
                <w:sz w:val="20"/>
              </w:rPr>
              <w:t>1)</w:t>
            </w:r>
            <w:r w:rsidRPr="00586FDB">
              <w:rPr>
                <w:rFonts w:asciiTheme="minorHAnsi" w:hAnsiTheme="minorHAnsi" w:cstheme="minorHAnsi"/>
                <w:sz w:val="20"/>
              </w:rPr>
              <w:tab/>
              <w:t>w art. 2 w ust. 1:</w:t>
            </w:r>
          </w:p>
          <w:p w14:paraId="3CC49BC4" w14:textId="5A00BB0F" w:rsidR="00586FDB" w:rsidRDefault="00586FDB" w:rsidP="00586FDB">
            <w:pPr>
              <w:pStyle w:val="PKTpunkt"/>
              <w:spacing w:line="240" w:lineRule="auto"/>
              <w:ind w:left="175" w:hanging="193"/>
              <w:rPr>
                <w:rFonts w:asciiTheme="minorHAnsi" w:hAnsiTheme="minorHAnsi" w:cstheme="minorHAnsi"/>
                <w:sz w:val="20"/>
              </w:rPr>
            </w:pPr>
            <w:r w:rsidRPr="00586FDB">
              <w:rPr>
                <w:rFonts w:asciiTheme="minorHAnsi" w:hAnsiTheme="minorHAnsi" w:cstheme="minorHAnsi"/>
                <w:sz w:val="20"/>
              </w:rPr>
              <w:t>b) po pkt 9 kropkę zastępuje się średnikiem i dodaje się pkt 10 i 11 w brzmieniu:</w:t>
            </w:r>
          </w:p>
          <w:p w14:paraId="12452F60" w14:textId="77777777" w:rsidR="00586FDB" w:rsidRPr="00586FDB" w:rsidRDefault="00586FDB" w:rsidP="00586FDB">
            <w:pPr>
              <w:pStyle w:val="ZLITPKTzmpktliter"/>
              <w:keepNext/>
              <w:spacing w:line="240" w:lineRule="auto"/>
              <w:ind w:left="33" w:firstLine="0"/>
              <w:rPr>
                <w:rFonts w:asciiTheme="minorHAnsi" w:hAnsiTheme="minorHAnsi" w:cstheme="minorHAnsi"/>
                <w:sz w:val="20"/>
              </w:rPr>
            </w:pPr>
            <w:r w:rsidRPr="00586FDB">
              <w:rPr>
                <w:rFonts w:asciiTheme="minorHAnsi" w:hAnsiTheme="minorHAnsi" w:cstheme="minorHAnsi"/>
                <w:sz w:val="20"/>
              </w:rPr>
              <w:t xml:space="preserve">„11) publiczna infrastruktura techniczna - infrastruktura techniczna w przestrzeni publicznej, która nadaje się pod względem technicznym do umieszczania w niej lub na niej punktów dostępu bezprzewodowego o bliskim zasięgu lub która jest niezbędna do podłączenia takich punktów dostępu z siecią szkieletową, taka jak latarnie, konstrukcje wsporcze znaków drogowych, konstrukcje wsporcze sygnalizatorów świetlnych, konstrukcje wsporcze urządzeń bezpieczeństwa ruchu drogowego, billboardy, a także </w:t>
            </w:r>
            <w:r w:rsidRPr="00586FDB">
              <w:rPr>
                <w:rFonts w:asciiTheme="minorHAnsi" w:hAnsiTheme="minorHAnsi" w:cstheme="minorHAnsi"/>
                <w:sz w:val="20"/>
              </w:rPr>
              <w:lastRenderedPageBreak/>
              <w:t>przystanki kolejowe, autobusowe i tramwajowe oraz stacje kolejowe i metra, będące własnością lub w zarządzie:</w:t>
            </w:r>
          </w:p>
          <w:p w14:paraId="03372D1A" w14:textId="77777777" w:rsidR="00586FDB" w:rsidRPr="00586FDB" w:rsidRDefault="00586FDB" w:rsidP="00586FDB">
            <w:pPr>
              <w:pStyle w:val="ZLITLITwPKTzmlitwpktliter"/>
              <w:spacing w:line="240" w:lineRule="auto"/>
              <w:ind w:left="459"/>
              <w:rPr>
                <w:rFonts w:asciiTheme="minorHAnsi" w:hAnsiTheme="minorHAnsi" w:cstheme="minorHAnsi"/>
                <w:sz w:val="20"/>
              </w:rPr>
            </w:pPr>
            <w:r w:rsidRPr="00586FDB">
              <w:rPr>
                <w:rFonts w:asciiTheme="minorHAnsi" w:hAnsiTheme="minorHAnsi" w:cstheme="minorHAnsi"/>
                <w:sz w:val="20"/>
              </w:rPr>
              <w:t>a)</w:t>
            </w:r>
            <w:r w:rsidRPr="00586FDB">
              <w:rPr>
                <w:rFonts w:asciiTheme="minorHAnsi" w:hAnsiTheme="minorHAnsi" w:cstheme="minorHAnsi"/>
                <w:sz w:val="20"/>
              </w:rPr>
              <w:tab/>
              <w:t>jednostki samorządu  terytorialnego,</w:t>
            </w:r>
          </w:p>
          <w:p w14:paraId="691523B6" w14:textId="74F5FDDB" w:rsidR="00586FDB" w:rsidRDefault="00586FDB" w:rsidP="00586FDB">
            <w:pPr>
              <w:pStyle w:val="PKTpunkt"/>
              <w:spacing w:line="240" w:lineRule="auto"/>
              <w:ind w:left="175" w:hanging="193"/>
              <w:rPr>
                <w:rFonts w:asciiTheme="minorHAnsi" w:hAnsiTheme="minorHAnsi" w:cstheme="minorHAnsi"/>
                <w:sz w:val="20"/>
              </w:rPr>
            </w:pPr>
            <w:r w:rsidRPr="00586FDB">
              <w:rPr>
                <w:rFonts w:asciiTheme="minorHAnsi" w:hAnsiTheme="minorHAnsi" w:cstheme="minorHAnsi"/>
                <w:sz w:val="20"/>
              </w:rPr>
              <w:t>b)</w:t>
            </w:r>
            <w:r w:rsidRPr="00586FDB">
              <w:rPr>
                <w:rFonts w:asciiTheme="minorHAnsi" w:hAnsiTheme="minorHAnsi" w:cstheme="minorHAnsi"/>
                <w:sz w:val="20"/>
              </w:rPr>
              <w:tab/>
              <w:t>państwowej lub samorządowej jednostki organizacyjnej.</w:t>
            </w:r>
            <w:r>
              <w:rPr>
                <w:rFonts w:asciiTheme="minorHAnsi" w:hAnsiTheme="minorHAnsi" w:cstheme="minorHAnsi"/>
                <w:sz w:val="20"/>
              </w:rPr>
              <w:t>”</w:t>
            </w:r>
          </w:p>
          <w:p w14:paraId="3FE8A329" w14:textId="77777777" w:rsidR="00586FDB" w:rsidRPr="00586FDB" w:rsidRDefault="00586FDB" w:rsidP="00586FDB">
            <w:pPr>
              <w:pStyle w:val="PKTpunkt"/>
              <w:spacing w:line="240" w:lineRule="auto"/>
              <w:ind w:left="175" w:hanging="193"/>
              <w:rPr>
                <w:rFonts w:asciiTheme="minorHAnsi" w:hAnsiTheme="minorHAnsi" w:cstheme="minorHAnsi"/>
                <w:sz w:val="20"/>
              </w:rPr>
            </w:pPr>
          </w:p>
          <w:p w14:paraId="27467B93" w14:textId="77777777" w:rsidR="00586FDB" w:rsidRPr="00586FDB" w:rsidRDefault="00586FDB" w:rsidP="00586FDB">
            <w:pPr>
              <w:pStyle w:val="PKTpunkt"/>
              <w:spacing w:line="240" w:lineRule="auto"/>
              <w:ind w:left="175" w:hanging="193"/>
              <w:rPr>
                <w:rFonts w:asciiTheme="minorHAnsi" w:hAnsiTheme="minorHAnsi" w:cstheme="minorHAnsi"/>
                <w:sz w:val="20"/>
              </w:rPr>
            </w:pPr>
            <w:r w:rsidRPr="00586FDB">
              <w:rPr>
                <w:rFonts w:asciiTheme="minorHAnsi" w:hAnsiTheme="minorHAnsi" w:cstheme="minorHAnsi"/>
                <w:sz w:val="20"/>
              </w:rPr>
              <w:t>6)</w:t>
            </w:r>
            <w:r w:rsidRPr="00586FDB">
              <w:rPr>
                <w:rFonts w:asciiTheme="minorHAnsi" w:hAnsiTheme="minorHAnsi" w:cstheme="minorHAnsi"/>
                <w:sz w:val="20"/>
              </w:rPr>
              <w:tab/>
              <w:t>po art. 17 dodaje się art. 17a w brzmieniu:</w:t>
            </w:r>
          </w:p>
          <w:p w14:paraId="0390E444" w14:textId="77777777" w:rsidR="00586FDB" w:rsidRDefault="00586FDB" w:rsidP="00586FDB">
            <w:pPr>
              <w:pStyle w:val="ZARTzmartartykuempunktem"/>
              <w:spacing w:line="240" w:lineRule="auto"/>
              <w:ind w:left="0" w:firstLine="175"/>
              <w:rPr>
                <w:rFonts w:asciiTheme="minorHAnsi" w:hAnsiTheme="minorHAnsi" w:cstheme="minorHAnsi"/>
                <w:sz w:val="20"/>
              </w:rPr>
            </w:pPr>
            <w:r w:rsidRPr="00586FDB">
              <w:rPr>
                <w:rFonts w:asciiTheme="minorHAnsi" w:hAnsiTheme="minorHAnsi" w:cstheme="minorHAnsi"/>
                <w:sz w:val="20"/>
              </w:rPr>
              <w:t>„</w:t>
            </w:r>
            <w:r w:rsidRPr="00586FDB">
              <w:rPr>
                <w:rStyle w:val="Ppogrubienie"/>
                <w:rFonts w:asciiTheme="minorHAnsi" w:hAnsiTheme="minorHAnsi" w:cstheme="minorHAnsi"/>
                <w:b w:val="0"/>
                <w:sz w:val="20"/>
              </w:rPr>
              <w:t>Art. 17a.</w:t>
            </w:r>
            <w:r w:rsidRPr="00586FDB">
              <w:rPr>
                <w:rStyle w:val="Ppogrubienie"/>
                <w:rFonts w:asciiTheme="minorHAnsi" w:hAnsiTheme="minorHAnsi" w:cstheme="minorHAnsi"/>
                <w:sz w:val="20"/>
              </w:rPr>
              <w:t> </w:t>
            </w:r>
            <w:r w:rsidRPr="00586FDB">
              <w:rPr>
                <w:rFonts w:asciiTheme="minorHAnsi" w:hAnsiTheme="minorHAnsi" w:cstheme="minorHAnsi"/>
                <w:sz w:val="20"/>
              </w:rPr>
              <w:t>1. Jednostka samorządu terytorialnego, państwowa lub samorządowa jednostka organizacyjna zapewnia przedsiębiorcom telekomunikacyjnym dostęp do publicznej infrastruktury technicznej w celu umieszczania punktów dostępu bezprzewodowego o bliskim zasięgu.</w:t>
            </w:r>
          </w:p>
          <w:p w14:paraId="45D68A0D" w14:textId="77777777" w:rsidR="00586FDB" w:rsidRDefault="00586FDB" w:rsidP="00586FDB">
            <w:pPr>
              <w:pStyle w:val="ZARTzmartartykuempunktem"/>
              <w:spacing w:line="240" w:lineRule="auto"/>
              <w:ind w:left="0" w:firstLine="175"/>
              <w:rPr>
                <w:rFonts w:asciiTheme="minorHAnsi" w:hAnsiTheme="minorHAnsi" w:cstheme="minorHAnsi"/>
                <w:sz w:val="20"/>
              </w:rPr>
            </w:pPr>
            <w:r w:rsidRPr="00586FDB">
              <w:rPr>
                <w:rFonts w:asciiTheme="minorHAnsi" w:hAnsiTheme="minorHAnsi" w:cstheme="minorHAnsi"/>
                <w:sz w:val="20"/>
              </w:rPr>
              <w:t>2. Dostęp, o którym mowa w ust. 1, jest nieodpłatny.</w:t>
            </w:r>
          </w:p>
          <w:p w14:paraId="0C0A4C39" w14:textId="527AFED2" w:rsidR="00BA34CF" w:rsidRPr="00586FDB" w:rsidRDefault="00586FDB" w:rsidP="00586FDB">
            <w:pPr>
              <w:pStyle w:val="ZARTzmartartykuempunktem"/>
              <w:spacing w:line="240" w:lineRule="auto"/>
              <w:ind w:left="0" w:firstLine="175"/>
              <w:rPr>
                <w:rFonts w:asciiTheme="minorHAnsi" w:hAnsiTheme="minorHAnsi" w:cstheme="minorHAnsi"/>
                <w:sz w:val="20"/>
              </w:rPr>
            </w:pPr>
            <w:r w:rsidRPr="00586FDB">
              <w:rPr>
                <w:rFonts w:asciiTheme="minorHAnsi" w:hAnsiTheme="minorHAnsi" w:cstheme="minorHAnsi"/>
                <w:sz w:val="20"/>
              </w:rPr>
              <w:t>3. Do dostępu, o którym mowa w ust. 1, stosuje się odpowiednio przepisy art. 18-21, art. 22 ust. 1, ust. 5-9, art. 23 - 25b, art. 25c ust. 1 oraz art. 25d.”;</w:t>
            </w:r>
          </w:p>
        </w:tc>
      </w:tr>
      <w:tr w:rsidR="00395EF7" w14:paraId="6C931EB9" w14:textId="77777777" w:rsidTr="7B0357D9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4E2F8" w14:textId="51670983" w:rsidR="00395EF7" w:rsidRDefault="00395EF7" w:rsidP="00395EF7">
            <w:pPr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>
              <w:rPr>
                <w:rFonts w:eastAsiaTheme="minorEastAsia"/>
                <w:color w:val="000000" w:themeColor="text1"/>
                <w:sz w:val="20"/>
                <w:szCs w:val="20"/>
              </w:rPr>
              <w:lastRenderedPageBreak/>
              <w:t>Wdrożenie i eksploatacja punktów dostępu bezprzewodowego o bliskim zasięgu</w:t>
            </w:r>
          </w:p>
          <w:p w14:paraId="10CF6F61" w14:textId="4C5425CD" w:rsidR="00395EF7" w:rsidRDefault="00395EF7" w:rsidP="00395EF7">
            <w:pPr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>
              <w:rPr>
                <w:rFonts w:eastAsiaTheme="minorEastAsia"/>
                <w:color w:val="000000" w:themeColor="text1"/>
                <w:sz w:val="20"/>
                <w:szCs w:val="20"/>
              </w:rPr>
              <w:t>Art.57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09BEE" w14:textId="3F648095" w:rsidR="00395EF7" w:rsidRPr="00395EF7" w:rsidRDefault="00395EF7" w:rsidP="00910DBB">
            <w:pPr>
              <w:jc w:val="both"/>
              <w:rPr>
                <w:rFonts w:cstheme="minorHAnsi"/>
                <w:color w:val="444444"/>
                <w:sz w:val="20"/>
                <w:szCs w:val="20"/>
                <w:shd w:val="clear" w:color="auto" w:fill="FFFFFF"/>
              </w:rPr>
            </w:pPr>
            <w:r w:rsidRPr="00395EF7">
              <w:rPr>
                <w:color w:val="444444"/>
                <w:sz w:val="20"/>
                <w:szCs w:val="20"/>
                <w:shd w:val="clear" w:color="auto" w:fill="FFFFFF"/>
              </w:rPr>
              <w:t>5.   Bez uszczerbku dla wszelkich umów handlowych uruchamianie punktów dostępu bezprzewodowego o bliskim zasięgu nie podlega żadnym opłatom niebędącym opłatami administracyjnymi zgodnie z art. 16.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9ABC13" w14:textId="461CDEDD" w:rsidR="00395EF7" w:rsidRDefault="00586FDB" w:rsidP="00910DBB">
            <w:p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Art. 1 pkt 6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C89EF8" w14:textId="77777777" w:rsidR="00586FDB" w:rsidRPr="00586FDB" w:rsidRDefault="00586FDB" w:rsidP="00586FDB">
            <w:pPr>
              <w:pStyle w:val="PKTpunkt"/>
              <w:spacing w:line="240" w:lineRule="auto"/>
              <w:ind w:left="175" w:hanging="193"/>
              <w:rPr>
                <w:rFonts w:asciiTheme="minorHAnsi" w:hAnsiTheme="minorHAnsi" w:cstheme="minorHAnsi"/>
                <w:sz w:val="20"/>
              </w:rPr>
            </w:pPr>
            <w:r w:rsidRPr="00586FDB">
              <w:rPr>
                <w:rFonts w:asciiTheme="minorHAnsi" w:hAnsiTheme="minorHAnsi" w:cstheme="minorHAnsi"/>
                <w:sz w:val="20"/>
              </w:rPr>
              <w:t>6)</w:t>
            </w:r>
            <w:r w:rsidRPr="00586FDB">
              <w:rPr>
                <w:rFonts w:asciiTheme="minorHAnsi" w:hAnsiTheme="minorHAnsi" w:cstheme="minorHAnsi"/>
                <w:sz w:val="20"/>
              </w:rPr>
              <w:tab/>
              <w:t>po art. 17 dodaje się art. 17a w brzmieniu:</w:t>
            </w:r>
          </w:p>
          <w:p w14:paraId="02875B1A" w14:textId="77777777" w:rsidR="00586FDB" w:rsidRDefault="00586FDB" w:rsidP="00586FDB">
            <w:pPr>
              <w:pStyle w:val="ZARTzmartartykuempunktem"/>
              <w:spacing w:line="240" w:lineRule="auto"/>
              <w:ind w:left="0" w:firstLine="175"/>
              <w:rPr>
                <w:rFonts w:asciiTheme="minorHAnsi" w:hAnsiTheme="minorHAnsi" w:cstheme="minorHAnsi"/>
                <w:sz w:val="20"/>
              </w:rPr>
            </w:pPr>
            <w:r w:rsidRPr="00586FDB">
              <w:rPr>
                <w:rFonts w:asciiTheme="minorHAnsi" w:hAnsiTheme="minorHAnsi" w:cstheme="minorHAnsi"/>
                <w:sz w:val="20"/>
              </w:rPr>
              <w:t>„</w:t>
            </w:r>
            <w:r w:rsidRPr="00586FDB">
              <w:rPr>
                <w:rStyle w:val="Ppogrubienie"/>
                <w:rFonts w:asciiTheme="minorHAnsi" w:hAnsiTheme="minorHAnsi" w:cstheme="minorHAnsi"/>
                <w:b w:val="0"/>
                <w:sz w:val="20"/>
              </w:rPr>
              <w:t>Art. 17a.</w:t>
            </w:r>
            <w:r w:rsidRPr="00586FDB">
              <w:rPr>
                <w:rStyle w:val="Ppogrubienie"/>
                <w:rFonts w:asciiTheme="minorHAnsi" w:hAnsiTheme="minorHAnsi" w:cstheme="minorHAnsi"/>
                <w:sz w:val="20"/>
              </w:rPr>
              <w:t> </w:t>
            </w:r>
            <w:r w:rsidRPr="00586FDB">
              <w:rPr>
                <w:rFonts w:asciiTheme="minorHAnsi" w:hAnsiTheme="minorHAnsi" w:cstheme="minorHAnsi"/>
                <w:sz w:val="20"/>
              </w:rPr>
              <w:t>1. Jednostka samorządu terytorialnego, państwowa lub samorządowa jednostka organizacyjna zapewnia przedsiębiorcom telekomunikacyjnym dostęp do publicznej infrastruktury technicznej w celu umieszczania punktów dostępu bezprzewodowego o bliskim zasięgu.</w:t>
            </w:r>
          </w:p>
          <w:p w14:paraId="1DBEA11B" w14:textId="77777777" w:rsidR="00586FDB" w:rsidRDefault="00586FDB" w:rsidP="00586FDB">
            <w:pPr>
              <w:pStyle w:val="ZARTzmartartykuempunktem"/>
              <w:spacing w:line="240" w:lineRule="auto"/>
              <w:ind w:left="0" w:firstLine="175"/>
              <w:rPr>
                <w:rFonts w:asciiTheme="minorHAnsi" w:hAnsiTheme="minorHAnsi" w:cstheme="minorHAnsi"/>
                <w:sz w:val="20"/>
              </w:rPr>
            </w:pPr>
            <w:r w:rsidRPr="00586FDB">
              <w:rPr>
                <w:rFonts w:asciiTheme="minorHAnsi" w:hAnsiTheme="minorHAnsi" w:cstheme="minorHAnsi"/>
                <w:sz w:val="20"/>
              </w:rPr>
              <w:t>2. Dostęp, o którym mowa w ust. 1, jest nieodpłatny.</w:t>
            </w:r>
          </w:p>
          <w:p w14:paraId="302DEABD" w14:textId="3537462E" w:rsidR="00395EF7" w:rsidRDefault="00586FDB" w:rsidP="00586FDB">
            <w:pPr>
              <w:pStyle w:val="Bezodstpw"/>
              <w:jc w:val="both"/>
              <w:rPr>
                <w:sz w:val="20"/>
                <w:szCs w:val="20"/>
              </w:rPr>
            </w:pPr>
            <w:r w:rsidRPr="00586FDB">
              <w:rPr>
                <w:rFonts w:cstheme="minorHAnsi"/>
                <w:sz w:val="20"/>
                <w:szCs w:val="20"/>
              </w:rPr>
              <w:t>3. Do dostępu, o którym mowa w ust. 1, stosuje się odpowiednio przepisy art. 18-21, art. 22 ust. 1, ust. 5-9, art. 23 - 25b, art. 25c ust. 1 oraz art. 25d.”;</w:t>
            </w:r>
          </w:p>
        </w:tc>
      </w:tr>
      <w:tr w:rsidR="006544C3" w14:paraId="4AF11904" w14:textId="77777777" w:rsidTr="7B0357D9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56009" w14:textId="6B821EF2" w:rsidR="006544C3" w:rsidRDefault="006544C3" w:rsidP="00395EF7">
            <w:pPr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>
              <w:rPr>
                <w:rFonts w:eastAsiaTheme="minorEastAsia"/>
                <w:color w:val="000000" w:themeColor="text1"/>
                <w:sz w:val="20"/>
                <w:szCs w:val="20"/>
              </w:rPr>
              <w:t>Okres obowiązywania umowy i rozwiązanie umowy</w:t>
            </w:r>
          </w:p>
          <w:p w14:paraId="6A943268" w14:textId="33CEF3EC" w:rsidR="006544C3" w:rsidRDefault="006544C3" w:rsidP="00395EF7">
            <w:pPr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>
              <w:rPr>
                <w:rFonts w:eastAsiaTheme="minorEastAsia"/>
                <w:color w:val="000000" w:themeColor="text1"/>
                <w:sz w:val="20"/>
                <w:szCs w:val="20"/>
              </w:rPr>
              <w:t>Art. 105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378A1" w14:textId="3DE140FA" w:rsidR="006544C3" w:rsidRPr="006544C3" w:rsidRDefault="006544C3" w:rsidP="006544C3">
            <w:pPr>
              <w:pStyle w:val="Normalny1"/>
              <w:shd w:val="clear" w:color="auto" w:fill="FFFFFF"/>
              <w:spacing w:before="120" w:beforeAutospacing="0" w:after="0" w:afterAutospacing="0"/>
              <w:jc w:val="both"/>
              <w:rPr>
                <w:rFonts w:asciiTheme="minorHAnsi" w:hAnsiTheme="minorHAnsi" w:cstheme="minorHAnsi"/>
                <w:color w:val="444444"/>
                <w:sz w:val="20"/>
                <w:szCs w:val="27"/>
              </w:rPr>
            </w:pPr>
            <w:r w:rsidRPr="006544C3">
              <w:rPr>
                <w:rFonts w:asciiTheme="minorHAnsi" w:hAnsiTheme="minorHAnsi" w:cstheme="minorHAnsi"/>
                <w:color w:val="444444"/>
                <w:sz w:val="20"/>
                <w:szCs w:val="27"/>
              </w:rPr>
              <w:t xml:space="preserve">1. Państwa członkowskie zapewniają, aby warunki i procedury regulujące rozwiązanie umowy nie zniechęcały do zmiany podmiotu świadczącego usługi oraz aby umowy zawierane między konsumentami a dostawcami świadczącymi publicznie dostępne usługi łączności elektronicznej inne niż usługi łączności interpersonalnej niewykorzystujące numerów oraz inne niż usługi transmisji używane do świadczenia usług </w:t>
            </w:r>
            <w:r w:rsidRPr="006544C3">
              <w:rPr>
                <w:rFonts w:asciiTheme="minorHAnsi" w:hAnsiTheme="minorHAnsi" w:cstheme="minorHAnsi"/>
                <w:color w:val="444444"/>
                <w:sz w:val="20"/>
                <w:szCs w:val="27"/>
              </w:rPr>
              <w:lastRenderedPageBreak/>
              <w:t>łączności maszyna–maszyna przewidywały okres zobowiązania nie dłuższy niż 24 miesiące. Państwa członkowskie mogą przyjąć lub utrzymać przepisy zezwalające na krótsze maksymalne okresy zobowiązania umownego.</w:t>
            </w:r>
          </w:p>
          <w:p w14:paraId="525EA768" w14:textId="6ED00874" w:rsidR="006544C3" w:rsidRPr="006544C3" w:rsidRDefault="006544C3" w:rsidP="006544C3">
            <w:pPr>
              <w:pStyle w:val="Normalny1"/>
              <w:shd w:val="clear" w:color="auto" w:fill="FFFFFF"/>
              <w:spacing w:before="120" w:beforeAutospacing="0" w:after="0" w:afterAutospacing="0"/>
              <w:jc w:val="both"/>
              <w:rPr>
                <w:color w:val="444444"/>
                <w:sz w:val="27"/>
                <w:szCs w:val="27"/>
              </w:rPr>
            </w:pPr>
            <w:r w:rsidRPr="006544C3">
              <w:rPr>
                <w:rFonts w:asciiTheme="minorHAnsi" w:hAnsiTheme="minorHAnsi" w:cstheme="minorHAnsi"/>
                <w:color w:val="444444"/>
                <w:sz w:val="20"/>
                <w:szCs w:val="27"/>
              </w:rPr>
              <w:t>Niniejszy ustęp nie ma zastosowania do okresu obowiązywania umowy ratalnej, w sytuacji gdy konsument zgodził się w odrębnej umowie na płatności ratalne wyłącznie za uruchomienie fizycznego łącza, w szczególności do sieci o bardzo dużej przepustowości. Umowa ratalna o uruchomienie fizycznego łącza nie obejmuje urządzeń końcowych, takich jak router lub modem, i nie uniemożliwia konsumentom korzystania z praw przysługujących im na mocy niniejszego artykułu.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4922A4" w14:textId="43901789" w:rsidR="006544C3" w:rsidRDefault="006544C3" w:rsidP="00910DBB">
            <w:p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Art. 12 pkt 1 i 2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DC969E" w14:textId="77777777" w:rsidR="006544C3" w:rsidRPr="006544C3" w:rsidRDefault="006544C3" w:rsidP="006544C3">
            <w:pPr>
              <w:pStyle w:val="PKTpunkt"/>
              <w:spacing w:line="240" w:lineRule="auto"/>
              <w:ind w:left="33" w:hanging="33"/>
              <w:rPr>
                <w:rFonts w:asciiTheme="minorHAnsi" w:hAnsiTheme="minorHAnsi" w:cstheme="minorHAnsi"/>
                <w:sz w:val="20"/>
              </w:rPr>
            </w:pPr>
            <w:r w:rsidRPr="006544C3">
              <w:rPr>
                <w:rFonts w:asciiTheme="minorHAnsi" w:hAnsiTheme="minorHAnsi" w:cstheme="minorHAnsi"/>
                <w:sz w:val="20"/>
              </w:rPr>
              <w:t>1)</w:t>
            </w:r>
            <w:r w:rsidRPr="006544C3">
              <w:rPr>
                <w:rFonts w:asciiTheme="minorHAnsi" w:hAnsiTheme="minorHAnsi" w:cstheme="minorHAnsi"/>
                <w:sz w:val="20"/>
              </w:rPr>
              <w:tab/>
              <w:t>w art. 57 ust. 2 po pkt 2 kropkę zastępuje się średnikiem i dodaje się pkt 3 w brzmieniu:</w:t>
            </w:r>
          </w:p>
          <w:p w14:paraId="268AF9C6" w14:textId="77777777" w:rsidR="006544C3" w:rsidRPr="006544C3" w:rsidRDefault="006544C3" w:rsidP="006544C3">
            <w:pPr>
              <w:pStyle w:val="ZPKTzmpktartykuempunktem"/>
              <w:spacing w:line="240" w:lineRule="auto"/>
              <w:ind w:left="0" w:firstLine="90"/>
              <w:rPr>
                <w:rFonts w:asciiTheme="minorHAnsi" w:hAnsiTheme="minorHAnsi" w:cstheme="minorHAnsi"/>
                <w:sz w:val="20"/>
              </w:rPr>
            </w:pPr>
            <w:r w:rsidRPr="006544C3">
              <w:rPr>
                <w:rFonts w:asciiTheme="minorHAnsi" w:hAnsiTheme="minorHAnsi" w:cstheme="minorHAnsi"/>
                <w:sz w:val="20"/>
              </w:rPr>
              <w:t>"3) zawarcia umowy o realizację przyłącza telekomunikacyjnego, o której mowa w art. 57a, o ile realizacja takiego przyłącza jest niezbędna do świadczenia usług telekomunikacyjnych, w tym zapewnienia przyłączenia do publicznej sieci telekomunikacyjnej.”;</w:t>
            </w:r>
          </w:p>
          <w:p w14:paraId="3C9CFA9F" w14:textId="77777777" w:rsidR="006544C3" w:rsidRPr="006544C3" w:rsidRDefault="006544C3" w:rsidP="006544C3">
            <w:pPr>
              <w:pStyle w:val="PKTpunkt"/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6544C3">
              <w:rPr>
                <w:rFonts w:asciiTheme="minorHAnsi" w:hAnsiTheme="minorHAnsi" w:cstheme="minorHAnsi"/>
                <w:sz w:val="20"/>
              </w:rPr>
              <w:t>2) po art. 57 dodaje się art. 57a w brzmieniu:</w:t>
            </w:r>
          </w:p>
          <w:p w14:paraId="6D47697F" w14:textId="77777777" w:rsidR="006544C3" w:rsidRPr="006544C3" w:rsidRDefault="006544C3" w:rsidP="006544C3">
            <w:pPr>
              <w:pStyle w:val="ZARTzmartartykuempunktem"/>
              <w:spacing w:line="240" w:lineRule="auto"/>
              <w:ind w:left="33" w:firstLine="284"/>
              <w:rPr>
                <w:rFonts w:asciiTheme="minorHAnsi" w:hAnsiTheme="minorHAnsi" w:cstheme="minorHAnsi"/>
                <w:sz w:val="20"/>
              </w:rPr>
            </w:pPr>
            <w:r w:rsidRPr="006544C3">
              <w:rPr>
                <w:rFonts w:asciiTheme="minorHAnsi" w:hAnsiTheme="minorHAnsi" w:cstheme="minorHAnsi"/>
                <w:sz w:val="20"/>
              </w:rPr>
              <w:lastRenderedPageBreak/>
              <w:t>„Art. 57a. 1. Dostawca usług może zawrzeć z użytkownikiem końcowym umowę obejmującą wyłącznie realizację przyłącza telekomunikacyjnego do publicznej sieci telekomunikacyjnej, o którym mowa w art. 2 pkt 27b lit. a, zwaną dalej „umową o realizację przyłącza telekomunikacyjnego”. Taka umowa nie stanowi umowy o świadczenie usług telekomunikacyjnych, w tym również umowy o zapewnienie przyłączenia do publicznej sieci telekomunikacyjnej.</w:t>
            </w:r>
          </w:p>
          <w:p w14:paraId="67A70EC4" w14:textId="77777777" w:rsidR="006544C3" w:rsidRPr="006544C3" w:rsidRDefault="006544C3" w:rsidP="006544C3">
            <w:pPr>
              <w:pStyle w:val="ZARTzmartartykuempunktem"/>
              <w:spacing w:line="240" w:lineRule="auto"/>
              <w:ind w:left="0" w:firstLine="175"/>
              <w:rPr>
                <w:rFonts w:asciiTheme="minorHAnsi" w:hAnsiTheme="minorHAnsi" w:cstheme="minorHAnsi"/>
                <w:sz w:val="20"/>
              </w:rPr>
            </w:pPr>
            <w:r w:rsidRPr="006544C3">
              <w:rPr>
                <w:rFonts w:asciiTheme="minorHAnsi" w:hAnsiTheme="minorHAnsi" w:cstheme="minorHAnsi"/>
                <w:sz w:val="20"/>
              </w:rPr>
              <w:t>2. Umowa o realizację przyłącza telekomunikacyjnego zawiera postanowienia dotyczące co najmniej:</w:t>
            </w:r>
          </w:p>
          <w:p w14:paraId="0EEE691F" w14:textId="77777777" w:rsidR="006544C3" w:rsidRPr="006544C3" w:rsidRDefault="006544C3" w:rsidP="006544C3">
            <w:pPr>
              <w:pStyle w:val="ZPKTzmpktartykuempunktem"/>
              <w:spacing w:line="240" w:lineRule="auto"/>
              <w:ind w:left="0" w:firstLine="175"/>
              <w:rPr>
                <w:rFonts w:asciiTheme="minorHAnsi" w:hAnsiTheme="minorHAnsi" w:cstheme="minorHAnsi"/>
                <w:sz w:val="20"/>
              </w:rPr>
            </w:pPr>
            <w:r w:rsidRPr="006544C3">
              <w:rPr>
                <w:rFonts w:asciiTheme="minorHAnsi" w:hAnsiTheme="minorHAnsi" w:cstheme="minorHAnsi"/>
                <w:sz w:val="20"/>
              </w:rPr>
              <w:t>1) wysokości opłaty przyłączeniowej, ustalonej jako uzasadniona część kosztu realizacji przyłącza telekomunikacyjnego;</w:t>
            </w:r>
          </w:p>
          <w:p w14:paraId="6B437DA9" w14:textId="77777777" w:rsidR="006544C3" w:rsidRPr="006544C3" w:rsidRDefault="006544C3" w:rsidP="006544C3">
            <w:pPr>
              <w:pStyle w:val="ZPKTzmpktartykuempunktem"/>
              <w:spacing w:line="240" w:lineRule="auto"/>
              <w:ind w:left="0" w:firstLine="175"/>
              <w:rPr>
                <w:rFonts w:asciiTheme="minorHAnsi" w:hAnsiTheme="minorHAnsi" w:cstheme="minorHAnsi"/>
                <w:sz w:val="20"/>
              </w:rPr>
            </w:pPr>
            <w:r w:rsidRPr="006544C3">
              <w:rPr>
                <w:rFonts w:asciiTheme="minorHAnsi" w:hAnsiTheme="minorHAnsi" w:cstheme="minorHAnsi"/>
                <w:sz w:val="20"/>
              </w:rPr>
              <w:t>2) technologii realizacji przyłącza telekomunikacyjnego;</w:t>
            </w:r>
          </w:p>
          <w:p w14:paraId="1738AD77" w14:textId="77777777" w:rsidR="006544C3" w:rsidRPr="006544C3" w:rsidRDefault="006544C3" w:rsidP="006544C3">
            <w:pPr>
              <w:pStyle w:val="ZPKTzmpktartykuempunktem"/>
              <w:spacing w:line="240" w:lineRule="auto"/>
              <w:ind w:left="0" w:firstLine="175"/>
              <w:rPr>
                <w:rFonts w:asciiTheme="minorHAnsi" w:hAnsiTheme="minorHAnsi" w:cstheme="minorHAnsi"/>
                <w:sz w:val="20"/>
              </w:rPr>
            </w:pPr>
            <w:r w:rsidRPr="006544C3">
              <w:rPr>
                <w:rFonts w:asciiTheme="minorHAnsi" w:hAnsiTheme="minorHAnsi" w:cstheme="minorHAnsi"/>
                <w:sz w:val="20"/>
              </w:rPr>
              <w:t>3) przebiegu fizycznego przyłącza telekomunikacyjnego w zakresie, w jakim dotyczy nieruchomości użytkownika końcowego;</w:t>
            </w:r>
          </w:p>
          <w:p w14:paraId="74636573" w14:textId="77777777" w:rsidR="006544C3" w:rsidRPr="006544C3" w:rsidRDefault="006544C3" w:rsidP="006544C3">
            <w:pPr>
              <w:pStyle w:val="ZPKTzmpktartykuempunktem"/>
              <w:spacing w:line="240" w:lineRule="auto"/>
              <w:ind w:left="0" w:firstLine="175"/>
              <w:rPr>
                <w:rFonts w:asciiTheme="minorHAnsi" w:hAnsiTheme="minorHAnsi" w:cstheme="minorHAnsi"/>
                <w:sz w:val="20"/>
              </w:rPr>
            </w:pPr>
            <w:r w:rsidRPr="006544C3">
              <w:rPr>
                <w:rFonts w:asciiTheme="minorHAnsi" w:hAnsiTheme="minorHAnsi" w:cstheme="minorHAnsi"/>
                <w:sz w:val="20"/>
              </w:rPr>
              <w:t>4) terminu realizacji przyłącza telekomunikacyjnego;</w:t>
            </w:r>
          </w:p>
          <w:p w14:paraId="2437E7F6" w14:textId="77777777" w:rsidR="006544C3" w:rsidRPr="006544C3" w:rsidRDefault="006544C3" w:rsidP="006544C3">
            <w:pPr>
              <w:pStyle w:val="ZPKTzmpktartykuempunktem"/>
              <w:spacing w:line="240" w:lineRule="auto"/>
              <w:ind w:left="0" w:firstLine="175"/>
              <w:rPr>
                <w:rFonts w:asciiTheme="minorHAnsi" w:hAnsiTheme="minorHAnsi" w:cstheme="minorHAnsi"/>
                <w:sz w:val="20"/>
              </w:rPr>
            </w:pPr>
            <w:r w:rsidRPr="006544C3">
              <w:rPr>
                <w:rFonts w:asciiTheme="minorHAnsi" w:hAnsiTheme="minorHAnsi" w:cstheme="minorHAnsi"/>
                <w:sz w:val="20"/>
              </w:rPr>
              <w:t>5) odpowiedzialności stron za niedotrzymanie warunków umowy, w szczególności odpowiedzialności dostawcy usług za niedotrzymanie terminu realizacji przyłącza telekomunikacyjnego;</w:t>
            </w:r>
          </w:p>
          <w:p w14:paraId="0FCA9386" w14:textId="77777777" w:rsidR="006544C3" w:rsidRPr="006544C3" w:rsidRDefault="006544C3" w:rsidP="006544C3">
            <w:pPr>
              <w:pStyle w:val="ZPKTzmpktartykuempunktem"/>
              <w:spacing w:line="240" w:lineRule="auto"/>
              <w:ind w:left="0" w:firstLine="175"/>
              <w:rPr>
                <w:rFonts w:asciiTheme="minorHAnsi" w:hAnsiTheme="minorHAnsi" w:cstheme="minorHAnsi"/>
                <w:sz w:val="20"/>
              </w:rPr>
            </w:pPr>
            <w:r w:rsidRPr="006544C3">
              <w:rPr>
                <w:rFonts w:asciiTheme="minorHAnsi" w:hAnsiTheme="minorHAnsi" w:cstheme="minorHAnsi"/>
                <w:sz w:val="20"/>
              </w:rPr>
              <w:t>6) okresu, na jaki została zawarta umowa, który nie może być dłuższy niż 60 miesięcy, oraz warunki jej rozwiązania;</w:t>
            </w:r>
          </w:p>
          <w:p w14:paraId="698A3645" w14:textId="77777777" w:rsidR="006544C3" w:rsidRPr="006544C3" w:rsidRDefault="006544C3" w:rsidP="006544C3">
            <w:pPr>
              <w:pStyle w:val="ZPKTzmpktartykuempunktem"/>
              <w:spacing w:line="240" w:lineRule="auto"/>
              <w:ind w:left="0" w:firstLine="175"/>
              <w:rPr>
                <w:rFonts w:asciiTheme="minorHAnsi" w:hAnsiTheme="minorHAnsi" w:cstheme="minorHAnsi"/>
                <w:sz w:val="20"/>
              </w:rPr>
            </w:pPr>
            <w:r w:rsidRPr="006544C3">
              <w:rPr>
                <w:rFonts w:asciiTheme="minorHAnsi" w:hAnsiTheme="minorHAnsi" w:cstheme="minorHAnsi"/>
                <w:sz w:val="20"/>
              </w:rPr>
              <w:t>7) sposobu uiszczenia opłaty przyłączeniowej.</w:t>
            </w:r>
          </w:p>
          <w:p w14:paraId="7650F6EA" w14:textId="77777777" w:rsidR="006544C3" w:rsidRPr="006544C3" w:rsidRDefault="006544C3" w:rsidP="006544C3">
            <w:pPr>
              <w:pStyle w:val="ZUSTzmustartykuempunktem"/>
              <w:spacing w:line="240" w:lineRule="auto"/>
              <w:ind w:left="0" w:firstLine="175"/>
              <w:rPr>
                <w:rFonts w:asciiTheme="minorHAnsi" w:hAnsiTheme="minorHAnsi" w:cstheme="minorHAnsi"/>
                <w:sz w:val="20"/>
              </w:rPr>
            </w:pPr>
            <w:r w:rsidRPr="006544C3">
              <w:rPr>
                <w:rFonts w:asciiTheme="minorHAnsi" w:hAnsiTheme="minorHAnsi" w:cstheme="minorHAnsi"/>
                <w:sz w:val="20"/>
              </w:rPr>
              <w:t>3. Umowa o realizację przyłącza telekomunikacyjnego nie obejmuje telekomunikacyjnych urządzeń końcowych.</w:t>
            </w:r>
          </w:p>
          <w:p w14:paraId="1B1D66E5" w14:textId="77777777" w:rsidR="006544C3" w:rsidRPr="006544C3" w:rsidRDefault="006544C3" w:rsidP="006544C3">
            <w:pPr>
              <w:pStyle w:val="ZUSTzmustartykuempunktem"/>
              <w:spacing w:line="240" w:lineRule="auto"/>
              <w:ind w:left="0" w:firstLine="175"/>
              <w:rPr>
                <w:rFonts w:asciiTheme="minorHAnsi" w:hAnsiTheme="minorHAnsi" w:cstheme="minorHAnsi"/>
                <w:sz w:val="20"/>
              </w:rPr>
            </w:pPr>
            <w:r w:rsidRPr="006544C3">
              <w:rPr>
                <w:rFonts w:asciiTheme="minorHAnsi" w:hAnsiTheme="minorHAnsi" w:cstheme="minorHAnsi"/>
                <w:sz w:val="20"/>
              </w:rPr>
              <w:t>4. Do umowy o realizację przyłącza telekomunikacyjnego stosuje się odpowiednio art. 57 ust. 2 pkt 1 i 2, ust. 3 oraz ust. 5.</w:t>
            </w:r>
          </w:p>
          <w:p w14:paraId="52012AA5" w14:textId="77777777" w:rsidR="006544C3" w:rsidRPr="006544C3" w:rsidRDefault="006544C3" w:rsidP="006544C3">
            <w:pPr>
              <w:pStyle w:val="ZUSTzmustartykuempunktem"/>
              <w:spacing w:line="240" w:lineRule="auto"/>
              <w:ind w:left="0" w:firstLine="175"/>
              <w:rPr>
                <w:rFonts w:asciiTheme="minorHAnsi" w:hAnsiTheme="minorHAnsi" w:cstheme="minorHAnsi"/>
                <w:sz w:val="20"/>
              </w:rPr>
            </w:pPr>
            <w:r w:rsidRPr="006544C3">
              <w:rPr>
                <w:rFonts w:asciiTheme="minorHAnsi" w:hAnsiTheme="minorHAnsi" w:cstheme="minorHAnsi"/>
                <w:sz w:val="20"/>
              </w:rPr>
              <w:t>5. W przypadku braku realizacji przez dostawcę usług przyłącza telekomunikacyjnego w terminie, o którym mowa w ust. 2 pkt 4, użytkownik końcowy jest uprawniony do wypowiedzenia umowy o realizację przyłącza telekomunikacyjnego oraz związanej z nią umowy o świadczenie publicznie dostępnych usług telekomunikacyjnych, w tym o zapewnienie przyłączenia do sieci.</w:t>
            </w:r>
          </w:p>
          <w:p w14:paraId="11CDD269" w14:textId="77777777" w:rsidR="006544C3" w:rsidRPr="006544C3" w:rsidRDefault="006544C3" w:rsidP="006544C3">
            <w:pPr>
              <w:pStyle w:val="ZUSTzmustartykuempunktem"/>
              <w:spacing w:line="240" w:lineRule="auto"/>
              <w:ind w:left="0" w:firstLine="175"/>
              <w:rPr>
                <w:rFonts w:asciiTheme="minorHAnsi" w:hAnsiTheme="minorHAnsi" w:cstheme="minorHAnsi"/>
                <w:sz w:val="20"/>
              </w:rPr>
            </w:pPr>
            <w:r w:rsidRPr="006544C3">
              <w:rPr>
                <w:rFonts w:asciiTheme="minorHAnsi" w:hAnsiTheme="minorHAnsi" w:cstheme="minorHAnsi"/>
                <w:sz w:val="20"/>
              </w:rPr>
              <w:lastRenderedPageBreak/>
              <w:t>6. W razie skorzystania z prawa wypowiedzenia umowy, o którym mowa w ust. 5, dostawcy usług nie przysługuje opłata przyłączeniowa, o której mowa w ust. 2 pkt 1, a uiszczona do tej chwili cześć opłaty przyłączeniowej podlega zwrotowi użytkownikowi końcowemu.</w:t>
            </w:r>
          </w:p>
          <w:p w14:paraId="200DD126" w14:textId="77777777" w:rsidR="006544C3" w:rsidRPr="006544C3" w:rsidRDefault="006544C3" w:rsidP="006544C3">
            <w:pPr>
              <w:pStyle w:val="ZUSTzmustartykuempunktem"/>
              <w:spacing w:line="240" w:lineRule="auto"/>
              <w:ind w:left="0" w:firstLine="175"/>
              <w:rPr>
                <w:rFonts w:asciiTheme="minorHAnsi" w:hAnsiTheme="minorHAnsi" w:cstheme="minorHAnsi"/>
                <w:sz w:val="20"/>
              </w:rPr>
            </w:pPr>
            <w:r w:rsidRPr="006544C3">
              <w:rPr>
                <w:rFonts w:asciiTheme="minorHAnsi" w:hAnsiTheme="minorHAnsi" w:cstheme="minorHAnsi"/>
                <w:sz w:val="20"/>
              </w:rPr>
              <w:t>7. Dostawca usług nie jest zobowiązany do zawierania umów o realizację przyłącza telekomunikacyjnego.</w:t>
            </w:r>
          </w:p>
          <w:p w14:paraId="54C2A998" w14:textId="7DA48F61" w:rsidR="006544C3" w:rsidRPr="006544C3" w:rsidRDefault="006544C3" w:rsidP="006544C3">
            <w:pPr>
              <w:pStyle w:val="ZUSTzmustartykuempunktem"/>
              <w:spacing w:line="240" w:lineRule="auto"/>
              <w:ind w:left="0" w:firstLine="175"/>
            </w:pPr>
            <w:r w:rsidRPr="006544C3">
              <w:rPr>
                <w:rFonts w:asciiTheme="minorHAnsi" w:hAnsiTheme="minorHAnsi" w:cstheme="minorHAnsi"/>
                <w:sz w:val="20"/>
              </w:rPr>
              <w:t>8. Dostawca usług, który oferuje możliwość zawarcia umowy o realizację przyłącza telekomunikacyjnego, publikuje na swojej stronie internetowej regulamin świadczenia usług w zakresie realizacji tych przyłączy</w:t>
            </w:r>
            <w:bookmarkStart w:id="2" w:name="mip32161070"/>
            <w:bookmarkEnd w:id="2"/>
            <w:r w:rsidRPr="006544C3">
              <w:rPr>
                <w:rFonts w:asciiTheme="minorHAnsi" w:hAnsiTheme="minorHAnsi" w:cstheme="minorHAnsi"/>
                <w:sz w:val="20"/>
              </w:rPr>
              <w:t>.";</w:t>
            </w:r>
          </w:p>
        </w:tc>
      </w:tr>
    </w:tbl>
    <w:p w14:paraId="12640049" w14:textId="61C9EE4D" w:rsidR="00A3019D" w:rsidRDefault="00A3019D" w:rsidP="00BA34CF">
      <w:pPr>
        <w:jc w:val="both"/>
      </w:pPr>
    </w:p>
    <w:sectPr w:rsidR="00A3019D" w:rsidSect="00E903F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D0D72"/>
    <w:multiLevelType w:val="hybridMultilevel"/>
    <w:tmpl w:val="3424D3C2"/>
    <w:lvl w:ilvl="0" w:tplc="A7F4CBA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6606DF"/>
    <w:multiLevelType w:val="hybridMultilevel"/>
    <w:tmpl w:val="FB22D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0E1999"/>
    <w:multiLevelType w:val="hybridMultilevel"/>
    <w:tmpl w:val="524A71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56238"/>
    <w:multiLevelType w:val="hybridMultilevel"/>
    <w:tmpl w:val="456CC5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C94563"/>
    <w:multiLevelType w:val="hybridMultilevel"/>
    <w:tmpl w:val="7D3C04DC"/>
    <w:lvl w:ilvl="0" w:tplc="DB78360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E863AB"/>
    <w:multiLevelType w:val="hybridMultilevel"/>
    <w:tmpl w:val="DAEAE014"/>
    <w:lvl w:ilvl="0" w:tplc="AE662F2E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037DAD"/>
    <w:multiLevelType w:val="hybridMultilevel"/>
    <w:tmpl w:val="DAEAE014"/>
    <w:lvl w:ilvl="0" w:tplc="AE662F2E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0D0433"/>
    <w:multiLevelType w:val="hybridMultilevel"/>
    <w:tmpl w:val="81CE45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811DCC"/>
    <w:multiLevelType w:val="hybridMultilevel"/>
    <w:tmpl w:val="46C8DD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8"/>
  </w:num>
  <w:num w:numId="5">
    <w:abstractNumId w:val="4"/>
  </w:num>
  <w:num w:numId="6">
    <w:abstractNumId w:val="3"/>
  </w:num>
  <w:num w:numId="7">
    <w:abstractNumId w:val="0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3F9"/>
    <w:rsid w:val="00000952"/>
    <w:rsid w:val="00026509"/>
    <w:rsid w:val="000330B0"/>
    <w:rsid w:val="00056B01"/>
    <w:rsid w:val="00060B05"/>
    <w:rsid w:val="0007021D"/>
    <w:rsid w:val="00082334"/>
    <w:rsid w:val="00090D00"/>
    <w:rsid w:val="00092855"/>
    <w:rsid w:val="000955C8"/>
    <w:rsid w:val="000A00E7"/>
    <w:rsid w:val="000A1AD9"/>
    <w:rsid w:val="000A2DBB"/>
    <w:rsid w:val="000A49E7"/>
    <w:rsid w:val="000A7C8F"/>
    <w:rsid w:val="000B4260"/>
    <w:rsid w:val="000E33D1"/>
    <w:rsid w:val="000F0876"/>
    <w:rsid w:val="00110F37"/>
    <w:rsid w:val="001266FD"/>
    <w:rsid w:val="00130E59"/>
    <w:rsid w:val="00132442"/>
    <w:rsid w:val="001603C0"/>
    <w:rsid w:val="00162775"/>
    <w:rsid w:val="00166B9C"/>
    <w:rsid w:val="001940A8"/>
    <w:rsid w:val="00194F4D"/>
    <w:rsid w:val="00195480"/>
    <w:rsid w:val="001C704D"/>
    <w:rsid w:val="001D7473"/>
    <w:rsid w:val="00214887"/>
    <w:rsid w:val="002159DB"/>
    <w:rsid w:val="00225A7C"/>
    <w:rsid w:val="00231676"/>
    <w:rsid w:val="00233AFD"/>
    <w:rsid w:val="002347EA"/>
    <w:rsid w:val="00246BB0"/>
    <w:rsid w:val="00261874"/>
    <w:rsid w:val="0029581F"/>
    <w:rsid w:val="002A1086"/>
    <w:rsid w:val="002A1FD6"/>
    <w:rsid w:val="002A3E1D"/>
    <w:rsid w:val="002F4534"/>
    <w:rsid w:val="002F6FDF"/>
    <w:rsid w:val="00350A91"/>
    <w:rsid w:val="00375285"/>
    <w:rsid w:val="00380C92"/>
    <w:rsid w:val="003842A9"/>
    <w:rsid w:val="00392636"/>
    <w:rsid w:val="00395EF7"/>
    <w:rsid w:val="003A4524"/>
    <w:rsid w:val="003A5376"/>
    <w:rsid w:val="003C0546"/>
    <w:rsid w:val="003C4CFF"/>
    <w:rsid w:val="003D623A"/>
    <w:rsid w:val="003F5B23"/>
    <w:rsid w:val="004307FE"/>
    <w:rsid w:val="004425FD"/>
    <w:rsid w:val="00443C6F"/>
    <w:rsid w:val="00447A61"/>
    <w:rsid w:val="00447AB5"/>
    <w:rsid w:val="00473248"/>
    <w:rsid w:val="00494A3F"/>
    <w:rsid w:val="0049692A"/>
    <w:rsid w:val="004B45E9"/>
    <w:rsid w:val="004D1E8C"/>
    <w:rsid w:val="004F29EA"/>
    <w:rsid w:val="004F3E95"/>
    <w:rsid w:val="0050490C"/>
    <w:rsid w:val="005102EF"/>
    <w:rsid w:val="00510693"/>
    <w:rsid w:val="005212AC"/>
    <w:rsid w:val="00526E7E"/>
    <w:rsid w:val="005434ED"/>
    <w:rsid w:val="00586FDB"/>
    <w:rsid w:val="005A6010"/>
    <w:rsid w:val="005D2740"/>
    <w:rsid w:val="005D4A5A"/>
    <w:rsid w:val="005E476E"/>
    <w:rsid w:val="006044CF"/>
    <w:rsid w:val="00614EFC"/>
    <w:rsid w:val="0063587D"/>
    <w:rsid w:val="006544C3"/>
    <w:rsid w:val="006636F9"/>
    <w:rsid w:val="00665C6D"/>
    <w:rsid w:val="00686618"/>
    <w:rsid w:val="006B149F"/>
    <w:rsid w:val="006C45EB"/>
    <w:rsid w:val="006F3812"/>
    <w:rsid w:val="006F4C63"/>
    <w:rsid w:val="00704E38"/>
    <w:rsid w:val="00722335"/>
    <w:rsid w:val="00732572"/>
    <w:rsid w:val="00736216"/>
    <w:rsid w:val="00745C89"/>
    <w:rsid w:val="00786E3B"/>
    <w:rsid w:val="00797712"/>
    <w:rsid w:val="007A5BDC"/>
    <w:rsid w:val="007A73B8"/>
    <w:rsid w:val="007C30F9"/>
    <w:rsid w:val="007D7C2C"/>
    <w:rsid w:val="007F2678"/>
    <w:rsid w:val="00801781"/>
    <w:rsid w:val="00802D9D"/>
    <w:rsid w:val="0081083C"/>
    <w:rsid w:val="008110EB"/>
    <w:rsid w:val="00816CFE"/>
    <w:rsid w:val="00820CDD"/>
    <w:rsid w:val="00826476"/>
    <w:rsid w:val="00830D61"/>
    <w:rsid w:val="00843FD9"/>
    <w:rsid w:val="00883723"/>
    <w:rsid w:val="00884B56"/>
    <w:rsid w:val="00886131"/>
    <w:rsid w:val="00891674"/>
    <w:rsid w:val="008A45ED"/>
    <w:rsid w:val="008B0A94"/>
    <w:rsid w:val="008C6A14"/>
    <w:rsid w:val="008C788D"/>
    <w:rsid w:val="008E3A93"/>
    <w:rsid w:val="008F1A56"/>
    <w:rsid w:val="008F1BC3"/>
    <w:rsid w:val="008F23C2"/>
    <w:rsid w:val="00903117"/>
    <w:rsid w:val="00910DBB"/>
    <w:rsid w:val="00914E3E"/>
    <w:rsid w:val="009215EA"/>
    <w:rsid w:val="00927948"/>
    <w:rsid w:val="00943ABD"/>
    <w:rsid w:val="00951711"/>
    <w:rsid w:val="00972BFC"/>
    <w:rsid w:val="00982FBB"/>
    <w:rsid w:val="009B2804"/>
    <w:rsid w:val="009C2123"/>
    <w:rsid w:val="009D185E"/>
    <w:rsid w:val="009E7EE9"/>
    <w:rsid w:val="009F2D5A"/>
    <w:rsid w:val="00A100BF"/>
    <w:rsid w:val="00A157F7"/>
    <w:rsid w:val="00A203DA"/>
    <w:rsid w:val="00A3019D"/>
    <w:rsid w:val="00A40984"/>
    <w:rsid w:val="00A47699"/>
    <w:rsid w:val="00A51C0C"/>
    <w:rsid w:val="00A601D1"/>
    <w:rsid w:val="00A73314"/>
    <w:rsid w:val="00A926B3"/>
    <w:rsid w:val="00A966A4"/>
    <w:rsid w:val="00AC5AA7"/>
    <w:rsid w:val="00AC7C75"/>
    <w:rsid w:val="00AD1BCB"/>
    <w:rsid w:val="00AF75BB"/>
    <w:rsid w:val="00B05B2C"/>
    <w:rsid w:val="00B16EFD"/>
    <w:rsid w:val="00B256DD"/>
    <w:rsid w:val="00B2612D"/>
    <w:rsid w:val="00B30B45"/>
    <w:rsid w:val="00B3333D"/>
    <w:rsid w:val="00B3745A"/>
    <w:rsid w:val="00B405E3"/>
    <w:rsid w:val="00B5555A"/>
    <w:rsid w:val="00B66F2B"/>
    <w:rsid w:val="00B7719E"/>
    <w:rsid w:val="00B81838"/>
    <w:rsid w:val="00B9793F"/>
    <w:rsid w:val="00BA0B63"/>
    <w:rsid w:val="00BA34CF"/>
    <w:rsid w:val="00BB3C45"/>
    <w:rsid w:val="00BC0770"/>
    <w:rsid w:val="00BC3F8C"/>
    <w:rsid w:val="00BC630E"/>
    <w:rsid w:val="00BD2BCA"/>
    <w:rsid w:val="00BD4D9C"/>
    <w:rsid w:val="00BE3C3B"/>
    <w:rsid w:val="00C20AB0"/>
    <w:rsid w:val="00C32472"/>
    <w:rsid w:val="00C37C30"/>
    <w:rsid w:val="00C60F14"/>
    <w:rsid w:val="00C778EE"/>
    <w:rsid w:val="00C87686"/>
    <w:rsid w:val="00CA7B68"/>
    <w:rsid w:val="00CB3341"/>
    <w:rsid w:val="00CE13EA"/>
    <w:rsid w:val="00CE4144"/>
    <w:rsid w:val="00D01003"/>
    <w:rsid w:val="00D3206C"/>
    <w:rsid w:val="00D573FD"/>
    <w:rsid w:val="00D65AC1"/>
    <w:rsid w:val="00D73647"/>
    <w:rsid w:val="00D84257"/>
    <w:rsid w:val="00D92469"/>
    <w:rsid w:val="00D93062"/>
    <w:rsid w:val="00DC3E5C"/>
    <w:rsid w:val="00DC3ECE"/>
    <w:rsid w:val="00DC747F"/>
    <w:rsid w:val="00DD6B38"/>
    <w:rsid w:val="00DE0D6E"/>
    <w:rsid w:val="00DE1D81"/>
    <w:rsid w:val="00DE4BDC"/>
    <w:rsid w:val="00E2586F"/>
    <w:rsid w:val="00E33441"/>
    <w:rsid w:val="00E35CFB"/>
    <w:rsid w:val="00E43922"/>
    <w:rsid w:val="00E4398B"/>
    <w:rsid w:val="00E47459"/>
    <w:rsid w:val="00E512B8"/>
    <w:rsid w:val="00E5234E"/>
    <w:rsid w:val="00E5765B"/>
    <w:rsid w:val="00E71F9A"/>
    <w:rsid w:val="00E7299C"/>
    <w:rsid w:val="00E81720"/>
    <w:rsid w:val="00E853DB"/>
    <w:rsid w:val="00E903F9"/>
    <w:rsid w:val="00E9341E"/>
    <w:rsid w:val="00EB289A"/>
    <w:rsid w:val="00ED1895"/>
    <w:rsid w:val="00ED21D7"/>
    <w:rsid w:val="00EE067F"/>
    <w:rsid w:val="00EF029E"/>
    <w:rsid w:val="00F10F71"/>
    <w:rsid w:val="00F13BE7"/>
    <w:rsid w:val="00F22FC2"/>
    <w:rsid w:val="00F256D3"/>
    <w:rsid w:val="00F4297F"/>
    <w:rsid w:val="00F536E6"/>
    <w:rsid w:val="00F743C5"/>
    <w:rsid w:val="00F80CCC"/>
    <w:rsid w:val="00F872E1"/>
    <w:rsid w:val="00F96124"/>
    <w:rsid w:val="00FA56A4"/>
    <w:rsid w:val="00FB17EC"/>
    <w:rsid w:val="00FC58ED"/>
    <w:rsid w:val="00FE4508"/>
    <w:rsid w:val="00FE4867"/>
    <w:rsid w:val="00FF5688"/>
    <w:rsid w:val="00FF5BD2"/>
    <w:rsid w:val="7B035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01423"/>
  <w15:chartTrackingRefBased/>
  <w15:docId w15:val="{BF3AC572-4A76-440F-A15A-00EE1963E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395EF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903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3019D"/>
    <w:pPr>
      <w:spacing w:after="0" w:line="240" w:lineRule="auto"/>
    </w:pPr>
  </w:style>
  <w:style w:type="paragraph" w:customStyle="1" w:styleId="doc-ti">
    <w:name w:val="doc-ti"/>
    <w:basedOn w:val="Normalny"/>
    <w:rsid w:val="007A73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8661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4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490C"/>
    <w:rPr>
      <w:rFonts w:ascii="Segoe UI" w:hAnsi="Segoe UI" w:cs="Segoe UI"/>
      <w:sz w:val="18"/>
      <w:szCs w:val="18"/>
    </w:rPr>
  </w:style>
  <w:style w:type="paragraph" w:customStyle="1" w:styleId="ARTartustawynprozporzdzenia">
    <w:name w:val="ART(§) – art. ustawy (§ np. rozporządzenia)"/>
    <w:uiPriority w:val="11"/>
    <w:qFormat/>
    <w:rsid w:val="0050490C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50490C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0D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0DB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0DB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0D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0DBB"/>
    <w:rPr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395EF7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395EF7"/>
    <w:rPr>
      <w:color w:val="0000FF"/>
      <w:u w:val="single"/>
    </w:rPr>
  </w:style>
  <w:style w:type="paragraph" w:customStyle="1" w:styleId="ZTIRwPKTzmtirwpktartykuempunktem">
    <w:name w:val="Z/TIR_w_PKT – zm. tir. w pkt artykułem (punktem)"/>
    <w:basedOn w:val="Normalny"/>
    <w:uiPriority w:val="33"/>
    <w:qFormat/>
    <w:rsid w:val="00586FDB"/>
    <w:pPr>
      <w:spacing w:after="0" w:line="360" w:lineRule="auto"/>
      <w:ind w:left="1894" w:hanging="397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586FDB"/>
    <w:pPr>
      <w:spacing w:before="0"/>
      <w:ind w:left="510"/>
    </w:p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586FDB"/>
  </w:style>
  <w:style w:type="character" w:customStyle="1" w:styleId="Ppogrubienie">
    <w:name w:val="_P_ – pogrubienie"/>
    <w:basedOn w:val="Domylnaczcionkaakapitu"/>
    <w:uiPriority w:val="1"/>
    <w:qFormat/>
    <w:rsid w:val="00586FDB"/>
    <w:rPr>
      <w:b/>
    </w:rPr>
  </w:style>
  <w:style w:type="paragraph" w:customStyle="1" w:styleId="LITlitera">
    <w:name w:val="LIT – litera"/>
    <w:basedOn w:val="PKTpunkt"/>
    <w:uiPriority w:val="14"/>
    <w:qFormat/>
    <w:rsid w:val="00586FDB"/>
    <w:pPr>
      <w:ind w:left="986" w:hanging="476"/>
    </w:pPr>
  </w:style>
  <w:style w:type="paragraph" w:styleId="Stopka">
    <w:name w:val="footer"/>
    <w:basedOn w:val="Normalny"/>
    <w:link w:val="StopkaZnak"/>
    <w:uiPriority w:val="99"/>
    <w:semiHidden/>
    <w:rsid w:val="00586FDB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586FDB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LITPKTzmpktliter">
    <w:name w:val="Z_LIT/PKT – zm. pkt literą"/>
    <w:basedOn w:val="PKTpunkt"/>
    <w:uiPriority w:val="47"/>
    <w:qFormat/>
    <w:rsid w:val="00586FDB"/>
    <w:pPr>
      <w:ind w:left="1497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586FDB"/>
    <w:pPr>
      <w:ind w:left="1973"/>
    </w:pPr>
  </w:style>
  <w:style w:type="paragraph" w:customStyle="1" w:styleId="Normalny1">
    <w:name w:val="Normalny1"/>
    <w:basedOn w:val="Normalny"/>
    <w:rsid w:val="00654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544C3"/>
    <w:pPr>
      <w:ind w:left="10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50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8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6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84141CDB2BAF43B6DDAD476A53B115" ma:contentTypeVersion="7" ma:contentTypeDescription="Utwórz nowy dokument." ma:contentTypeScope="" ma:versionID="27288917ac5fc6276a820bd7a6a687f0">
  <xsd:schema xmlns:xsd="http://www.w3.org/2001/XMLSchema" xmlns:xs="http://www.w3.org/2001/XMLSchema" xmlns:p="http://schemas.microsoft.com/office/2006/metadata/properties" xmlns:ns2="a53d6a32-b5fe-4a9a-b30d-3ac5bf6d4837" xmlns:ns3="5bb7174e-e704-4a4b-bab9-ceffa4318eee" targetNamespace="http://schemas.microsoft.com/office/2006/metadata/properties" ma:root="true" ma:fieldsID="4d7d720ac0d54c2690453ba6ccce7694" ns2:_="" ns3:_="">
    <xsd:import namespace="a53d6a32-b5fe-4a9a-b30d-3ac5bf6d4837"/>
    <xsd:import namespace="5bb7174e-e704-4a4b-bab9-ceffa4318ee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3d6a32-b5fe-4a9a-b30d-3ac5bf6d483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7174e-e704-4a4b-bab9-ceffa4318e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48D086-B361-476B-8454-6E1735F62B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3d6a32-b5fe-4a9a-b30d-3ac5bf6d4837"/>
    <ds:schemaRef ds:uri="5bb7174e-e704-4a4b-bab9-ceffa4318e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F9215D1-7FD3-4A96-9BDB-BA6CA2EE3EE9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a53d6a32-b5fe-4a9a-b30d-3ac5bf6d4837"/>
    <ds:schemaRef ds:uri="http://purl.org/dc/elements/1.1/"/>
    <ds:schemaRef ds:uri="http://schemas.microsoft.com/office/2006/metadata/properties"/>
    <ds:schemaRef ds:uri="5bb7174e-e704-4a4b-bab9-ceffa4318eee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035065A-153E-4D81-AD39-7DF871D968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D5D1BDD-6724-494F-AF99-190A04682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1254</Words>
  <Characters>7525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8762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Pietrasiewicz Adam</dc:creator>
  <cp:keywords/>
  <dc:description/>
  <cp:lastModifiedBy>Czwordon Grzegorz</cp:lastModifiedBy>
  <cp:revision>2</cp:revision>
  <cp:lastPrinted>2018-06-19T07:05:00Z</cp:lastPrinted>
  <dcterms:created xsi:type="dcterms:W3CDTF">2019-03-20T15:32:00Z</dcterms:created>
  <dcterms:modified xsi:type="dcterms:W3CDTF">2019-03-20T15:32:00Z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0x0101004884141CDB2BAF43B6DDAD476A53B115</vt:lpwstr>
  </property>
</Properties>
</file>